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jc w:val="center"/>
        <w:rPr>
          <w:color w:val="auto"/>
        </w:rPr>
      </w:pPr>
      <w:bookmarkStart w:id="17" w:name="_GoBack"/>
      <w:bookmarkEnd w:id="17"/>
      <w:r>
        <w:rPr>
          <w:color w:val="auto"/>
        </w:rPr>
        <w:t>中国共产党党内监督条例</w:t>
      </w:r>
    </w:p>
    <w:p>
      <w:pPr>
        <w:pStyle w:val="3"/>
        <w:keepNext w:val="0"/>
        <w:keepLines w:val="0"/>
        <w:widowControl/>
        <w:suppressLineNumbers w:val="0"/>
        <w:spacing w:before="300" w:beforeAutospacing="0" w:after="0" w:afterAutospacing="0" w:line="23" w:lineRule="atLeast"/>
        <w:ind w:left="0" w:right="0"/>
        <w:rPr>
          <w:color w:val="auto"/>
        </w:rPr>
      </w:pPr>
      <w:r>
        <w:rPr>
          <w:color w:val="auto"/>
          <w:shd w:val="clear" w:fill="FFFFFF"/>
        </w:rPr>
        <w:t>试行版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《中国共产党党内监督条例（试行）》共5章，即总则、监督职责、监督制度、监督保障、附则，共47条。</w:t>
      </w:r>
      <w:r>
        <w:rPr>
          <w:rFonts w:hint="default" w:ascii="Arial" w:hAnsi="Arial" w:eastAsia="宋体" w:cs="Arial"/>
          <w:color w:val="auto"/>
          <w:kern w:val="0"/>
          <w:sz w:val="15"/>
          <w:szCs w:val="15"/>
          <w:shd w:val="clear" w:fill="FFFFFF"/>
          <w:vertAlign w:val="baseline"/>
          <w:lang w:val="en-US" w:eastAsia="zh-CN" w:bidi="ar"/>
        </w:rPr>
        <w:t>[1-2]</w:t>
      </w:r>
      <w:bookmarkStart w:id="0" w:name="ref_[1-2]_2420926"/>
      <w:r>
        <w:rPr>
          <w:rFonts w:hint="default" w:ascii="Arial" w:hAnsi="Arial" w:eastAsia="宋体" w:cs="Arial"/>
          <w:color w:val="auto"/>
          <w:kern w:val="0"/>
          <w:sz w:val="0"/>
          <w:szCs w:val="0"/>
          <w:u w:val="none"/>
          <w:shd w:val="clear" w:fill="FFFFFF"/>
          <w:lang w:val="en-US" w:eastAsia="zh-CN" w:bidi="ar"/>
        </w:rPr>
        <w:t> </w:t>
      </w:r>
      <w:bookmarkEnd w:id="0"/>
      <w:r>
        <w:rPr>
          <w:rFonts w:hint="default" w:ascii="Arial" w:hAnsi="Arial" w:eastAsia="宋体" w:cs="Arial"/>
          <w:color w:val="auto"/>
          <w:kern w:val="0"/>
          <w:sz w:val="21"/>
          <w:szCs w:val="21"/>
          <w:shd w:val="clear" w:fill="FFFFFF"/>
          <w:lang w:val="en-US" w:eastAsia="zh-CN" w:bidi="ar"/>
        </w:rPr>
        <w:t xml:space="preserve"> </w:t>
      </w:r>
    </w:p>
    <w:p>
      <w:pPr>
        <w:pStyle w:val="3"/>
        <w:keepNext w:val="0"/>
        <w:keepLines w:val="0"/>
        <w:widowControl/>
        <w:suppressLineNumbers w:val="0"/>
        <w:spacing w:before="300" w:beforeAutospacing="0" w:after="0" w:afterAutospacing="0" w:line="23" w:lineRule="atLeast"/>
        <w:ind w:left="0" w:right="0"/>
        <w:rPr>
          <w:color w:val="auto"/>
        </w:rPr>
      </w:pPr>
      <w:bookmarkStart w:id="1" w:name="sub2420926_2"/>
      <w:bookmarkEnd w:id="1"/>
      <w:bookmarkStart w:id="2" w:name="2"/>
      <w:bookmarkEnd w:id="2"/>
      <w:bookmarkStart w:id="3" w:name="第一章"/>
      <w:bookmarkEnd w:id="3"/>
      <w:r>
        <w:rPr>
          <w:color w:val="auto"/>
          <w:shd w:val="clear" w:fill="FFFFFF"/>
        </w:rPr>
        <w:t>中国共产党党内监督条例第一章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第一条为加强党内监督，发展党内民主，维护党的团结统一，提高党的领导水平和执政水平，增强拒腐防变和抵御风险能力，坚持党的先进性，始终做到立党为公、执政为民，根据《中国共产</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"http://baike.baidu.com/view/36759.htm"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党章</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程》，制定本条例。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第二条党内监督以</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"http://baike.baidu.com/view/505566.htm"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马克思列宁主义</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、毛泽东思想、</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"http://baike.baidu.com/view/3416688.htm"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邓小平理论和“三个代表</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”重要思想为指导，坚持解放思想、实事求是、与时俱进，坚持民主集中制和党要管党、从严治党的方针。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第三条 党内监督的重点对象是党的各级领导机关和领导干部，特别是各级领导班子主要负责人。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第四条 党内监督的重点内容是：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（一）遵守党的章程和其他党内法规，维护中央权威，贯彻执行党的路线、方针、政策和上级党组织决议、决定及工作部署的情况；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（二）遵守宪法、法律，坚持依法执政的情况；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（三）贯彻执行民主集中制的情况；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（四）保障党员权利的情况；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（五）在干部选拔任用工作中执行党和国家有关规定的情况；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（六）</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"http://baike.baidu.com/view/4118770.htm"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密切联系群众</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，实现、维护、发展人民群众根本利益的情况；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（七）廉洁自律和抓党风</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"http://baike.baidu.com/view/966031.htm"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廉政建设</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的情况。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第五条 党内监督要与党外监督相结合。党的各级组织和党员领导干部，应当自觉接受并正确对待党和人民群众的监督。</w:t>
      </w:r>
    </w:p>
    <w:p>
      <w:pPr>
        <w:pStyle w:val="3"/>
        <w:keepNext w:val="0"/>
        <w:keepLines w:val="0"/>
        <w:widowControl/>
        <w:suppressLineNumbers w:val="0"/>
        <w:spacing w:before="300" w:beforeAutospacing="0" w:after="0" w:afterAutospacing="0" w:line="23" w:lineRule="atLeast"/>
        <w:ind w:left="0" w:right="0"/>
        <w:rPr>
          <w:color w:val="auto"/>
        </w:rPr>
      </w:pPr>
      <w:bookmarkStart w:id="4" w:name="3"/>
      <w:bookmarkEnd w:id="4"/>
      <w:bookmarkStart w:id="5" w:name="第二章"/>
      <w:bookmarkEnd w:id="5"/>
      <w:bookmarkStart w:id="6" w:name="sub2420926_3"/>
      <w:bookmarkEnd w:id="6"/>
      <w:r>
        <w:rPr>
          <w:color w:val="auto"/>
          <w:shd w:val="clear" w:fill="FFFFFF"/>
        </w:rPr>
        <w:t>中国共产党党内监督条例第二章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监督职责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第六条 党的各级委员会在党内监督方面履行下列职责：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（一）领导党内监督工作，明确同级纪委和党委工作部门、直属机构、派出机关以及相当于这一级别的党组（党委）在党内监督方面的任务和要求；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（二）制定贯彻上级党组织和同级党的代表大会关于加强党内监督工作决议、决定的措施，研究解决党内监督工作中的重要问题；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（三）对党委常委、委员，同级纪委和党委工作部门、直属机构、派出机关以及相当于这一级别的党组（党委）的领导班子及其成员进行监督；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（四）对下一级党组织及其领导班子，特别是主要负责人进行监督；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（五）党的地方各级委员会和基层委员会监督上级党委、纪委的工作，提出意见和建议。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党的中央和地方各级委员会派出的工作委员会，按照有关规定对所属党组织和党员领导干部进行监督。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第七条 党的各级委员会委员在党内监督方面的责任：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（一）对所在委员会、同级纪委和党委工作部门、直属机构、派出机关以及相当于这一级别的党组（党委）的工作进行监督；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（二）对所在委员会、同级纪委的常委、委员和党委工作部门、直属机构、派出机关以及相当于这一级别的党组（党委）的负责人进行监督；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三）党的地方各级委员会委员和基层委员会委员，对本条第（一）、（二）项所列党组织和党员领导干部的问题和意见，署真实姓名以书面形式或其他形式向党委常委会、同级纪委常委会提出或向上一级党委、纪委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（四）中央委员对</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"http://baike.baidu.com/view/5511.htm"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中央政治局</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委员、常委的意见，署真实姓名以书面形式或其他形式向中央政治局常委会或中央纪委常委会反映。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对委员署真实姓名反映的问题、意见和建议，有关部门或人员应当及时转达，不得扣压；有关党组织应当及时研究、处理并以适当方式答复。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第八条党的各级</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"http://baike.baidu.com/view/1497394.htm"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纪律检查委员会</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是党内监督的专门机关。中央纪委在中央委员会领导下，党的地方各级纪委和基层纪委在同级党委和上级纪委领导下，在党内监督方面履行下列职责：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（一）协助同级党的委员会组织协调党内监督工作，组织开展对党内监督工作的督促检查；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（二）对党员领导干部履行职责和行使权力情况进行监督；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（三）检查和处理党的组织和党员违反党的章程和其他党内法规的比较重要或复杂的案件；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（四）向同级党委和上一级纪委报告党内监督工作情况，提出建议，依照权限组织起草、制定有关规定和制度，作出关于维护党纪的决定；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（五）受理对党组织和党员违犯党纪行为的检举和党员的控告、申诉，保障党员的权利。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党的中央纪律检查委员会和地方各级纪律检查委员会派出的纪律检查工作委员会，按照有关规定履行监督职责。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纪委对派驻纪检组实行统一管理。派驻纪检组按照有关规定对驻在部门的党组织和党员领导干部进行监督。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党的地方和部门纪委、党组纪检组可以直接向上级纪委报告本地区、本系统、本单位发生的重大问题。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第九条 党的各级纪律检查委员会委员在党内监督方面的责任：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（一）对所在委员会及其派驻机构、派出的巡视机构的工作进行监督；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（二）对所在委员会常委、委员和派驻机构、派出的巡视机构的负责人进行监督；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三）党的地方各级纪委委员和基层纪委委员，对本条第（一）、（二）项所列纪检机关（机构）和党员领导干部的问题和意见，署真实姓名以书面形式或其他形式向纪委常委会、同级党委提出或反映，对所在委员会委员、常委的意见还可以向上一级党委和纪委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（四）中央纪委委员对中央纪委常委的意见，署真实姓名以书面形式或其他形式向中央纪委常委会或中央政治局常委会反映。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对委员署真实姓名反映的问题、意见和建议，有关部门、机构或人员应当及时转达，不得扣压；有关党组织应当及时研究、处理并以适当方式答复。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第十条 党员在党内监督方面的责任和权利：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（一）及时向党组织反映群众的意见和要求，维护群众的正当利益；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（二）对党的决议和政策如有不同意见，在坚决执行的前提下，可以在党的会议上或向党的组织提出保留，并且可以把自己的意见向党的上级组织直至中央反映，但不得公开发表同中央决定相反的意见；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（三）在党的会议上有根据地批评党的任何组织和任何党员，勇于揭露和纠正工作中的缺点、错误；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（四）检举党的任何组织和任何党员违纪违法的事实，同消极腐败现象作斗争；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（五）参加党组织开展的评议党员领导干部活动，发表意见。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一条党的各级代表大会代表在代表大会闭会期间，除履行党员的监督责任和享有党员的监督权利外，按照有关规定对其选举产生的党的委员会、纪律检查委员会及其成员进行监督，反映所在选举单位党员的意见和建议。</w:t>
      </w:r>
    </w:p>
    <w:p>
      <w:pPr>
        <w:pStyle w:val="3"/>
        <w:keepNext w:val="0"/>
        <w:keepLines w:val="0"/>
        <w:widowControl/>
        <w:suppressLineNumbers w:val="0"/>
        <w:spacing w:before="300" w:beforeAutospacing="0" w:after="0" w:afterAutospacing="0" w:line="23" w:lineRule="atLeast"/>
        <w:ind w:left="0" w:right="0"/>
        <w:rPr>
          <w:color w:val="auto"/>
        </w:rPr>
      </w:pPr>
      <w:bookmarkStart w:id="7" w:name="第三章"/>
      <w:bookmarkEnd w:id="7"/>
      <w:bookmarkStart w:id="8" w:name="4"/>
      <w:bookmarkEnd w:id="8"/>
      <w:bookmarkStart w:id="9" w:name="sub2420926_4"/>
      <w:bookmarkEnd w:id="9"/>
      <w:r>
        <w:rPr>
          <w:color w:val="auto"/>
          <w:shd w:val="clear" w:fill="FFFFFF"/>
        </w:rPr>
        <w:t>中国共产党党内监督条例第三章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监督制度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第一节 集体领导和分工负责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二条党的各级委员会实行集体领导和个人分工负责相结合的制度。凡属方针政策性的大事，凡属全局性的问题，凡属重要干部的推荐、任免和奖惩，都要按照集体领导、民主集中、个别酝酿、会议决定的原则，由党的委员会集体讨论作出决定。党的委员会成员要根据集体的决定和分工，切实履行自己的职责；同时要关心全局工作，积极参与集体领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党的各级领导班子主要负责人应当带头执行民主集中制，支持领导班子成员在职责范围内独立负责地开展工作。领导班子成员要互相信任，互相支持，维护和增强领导班子的团结。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第十三条 党的各级领导班子应当制定、完善并严格执行议事规则，保证决策科学、民主。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按照议事规则应当由集体讨论决定的事项，必须列入会议议程。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各级领导班子讨论决定事项，应当充分发表意见，对于少数人的不同意见，应当认真考虑。各种意见和主要理由应当如实记录。讨论干部任免事项，还应当如实记录推荐、考察、酝酿、讨论决定的情况。领导班子成员个人向党组织推荐领导干部人选，必须负责地写出推荐材料并署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党的各级领导班子决定重要事项，应当进行表决。表决采用口头、举手、无记名或记名投票等方式。表决结果和表决方式应当记录在案。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第十四条对于应当经集体讨论决定的事项而未经集体讨论，也未征求其他成员意见，由个人或少数人决定的，除遇紧急情况外，应当区别情况追究主要责任人的责任。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党的各级领导班子成员不遵守、不执行集体的决定，或未能按照集体的决定和分工履行自己的职责，给工作造成损失的，应当追究责任。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第二节 重要情况通报和报告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第十五条 中央委员会作出的决议、决定和中央政治局会议的内容，根据需要以适当方式在一定范围通报或向全党通报。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地方各级党的委员会全体会议作出的决议、决定，一般应当向下属党组织和党员通报，根据实际情况，以适当方式向社会公开。地方各级党委常委会会议的内容和本地区的重要情况，根据需要以适当方式在一定范围通报或向本地区的党组织和党员通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第十六条党的各级委员会、纪律检查委员会在同级党的代表大会闭会期间，根据需要将有关决策、重要情况向本次党的代表大会代表通报。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七条党组织对于本地区、本系统、本单位事关全局和社会稳定的重要情况以及重大问题，应当按照规定时限和程序向上级党组织报告或请示。同时，地方各级党委应当在职权范围内发挥总揽全局、协调各方的作用，支持政府和有关方面独立负责地处理好有关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对隐瞒不报、不如实报告、干扰和阻挠如实报告或不按时报告、请示的，追究有关负责人的责任。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对下级请示不及时答复、批复或对下级报告中反映的问题在职责范围内不及时处置，造成严重后果的，追究有关责任人的责任。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第十八条 各级党员领导干部应当向党组织如实报告个人重大事项，自觉接受监督。个人重大事项的具体内容，另行规定。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第三节 述职述廉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第十九条 中央政治局向中央委员会全体会议报告工作。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中央纪委常委会向中央纪委全体会议报告工作。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地方各级党委常委会、纪委常委会分别向委员会全体会议每年报告工作一次。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设常委会的基层党组织的党委常委会、纪委常委会分别向委员会全体会议每年报告工作一次。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条中央各部门、直属机构、派出机关以及相当于这一级别的党组（党委），地方各级党委、纪委和党委工作部门、直属机构、派出机关以及相当于这一级别的党组（党委）的领导班子成员，分别在届中和换届前一年在规定范围</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"http://baike.baidu.com/view/2295102.htm"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述职述廉</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一次。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基层党委、纪委，党总支、党支部负责人，每年在规定范围述职述廉一次。述职述廉时可以邀请群众代表参加会议。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在届中和换届前的述职述廉后，上一级党组织应当结合当年的年度考核组织民主评议或民主测评。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第四节 民主生活会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第二十一条党组织应当坚持和健全党员领导干部民主生活会制度，按照规定开好民主生活会。通过民主生活会，统一思想，改进作风，加强监督，增进团结，提高依靠自身力量解决问题和矛盾的能力。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县以上党和国家机关党员领导干部应当按照规定参加双重组织生活会。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第二十二条领导班子召开民主生活会要切实保证质量。民主生活会的主题应当按照上级党组织的要求、针对党性党风方面存在的突出问题确定。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领导班子成员在民主生活会上，应当针对自身存在的廉洁自律方面的问题以及党员、群众、领导班子其他成员和下级党组织提出的意见，负责任地作出检查或说明，积极开展批评和自我批评。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领导班子主要负责人对开好民主生活会负责，并承担制定和落实领导班子整改措施的领导责任。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第二十三条党员、群众和下级党组织对领导班子及其成员的意见、民主生活会情况和整改措施，应当按照规定如实上报，并将民主生活会情况和整改措施及时在一定范围通报。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党员有权了解本人所提意见和建议的处理结果。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第二十四条上级党组织应当加强对下级</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"http://baike.baidu.com/view/4118682.htm"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领导班子民主生活会</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的指导和监督。发现下级领导班子民主生活会主题不符合要求，应当提出明确意见，必要时可以直接确定；认为下级领导班子民主生活会不符合规定要求，可以责令重新召开。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中央纪委、中央组织部和中央直属机关工委、中央国家机关工委领导班子成员，除参加所在领导班子民主生活会外，每人每年应当参加一个以上省部级领导班子的民主生活会，了解情况。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地方各级党委、纪委和党委组织部门领导班子成员，除参加所在领导班子民主生活会外，每人每年应当参加一个以上下一级领导班子的民主生活会，了解情况。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第五节 信访处理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第二十五条各级党委、纪委通过信访处理，对下级党组织和领导干部实施监督，及时研究来信来访中提出的重要问题。对重要信访事项的办理，应当督促检查，直至妥善处理。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六条凡向党组织检举党员或下级党组织严重违纪违法问题的以及党员控告侵害自己合法权益行为的，党组织应当按照有关规定及时调查处理。党员署真实姓名检举的，应当视情况将处理结果告知该党员，听取其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第六节 巡视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第二十七条 中央和省、自治区、直辖市党委建立</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"http://baike.baidu.com/view/2956950.htm"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巡视制度</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，按照有关规定对下级党组织领导班子及其成员进行监督。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第二十八条 巡视工作的主要任务是：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（一）了解贯彻落实“三个代表”重要思想和执行党的路线、方针、政策、决议、决定和工作部署的情况，执行民主集中制的情况，落实</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"http://baike.baidu.com/view/1101067.htm"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党风廉政建设责任制</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和廉政勤政的情况，领导干部选拔任用的情况，处理改革发展稳定的情况，中央要求巡视的其他事项；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（二）向派出巡视组的党组织报告巡视工作中了解到的情况，提出意见和建议。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第二十九条巡视组可以根据巡视工作需要列席所巡视地方的党组织的有关会议，查阅有关文件、资料，召开座谈会，与有关人员谈话，了解和研究群众来信来访中反映的有关领导干部的重要问题。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巡视组不处理所巡视地方的具体问题。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第七节 谈话和诫勉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条各级党委、纪委领导班子成员和党委组织部门负责人，应当不定期与党委工作部门、直属机构、派出机关以及相当于这一级别的党组（党委）和下级党组织领导班子主要负责人谈话，主要了解该地区、该系统、该单位落实“三个代表”重要思想、执行党的路线方针政策、坚持民主集中制、实施党内监督的情况和领导班子及其成员廉政勤政的情况，提出建议和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第三十一条党委（党组）或组织（人事）部门对领导干部进行任职谈话，应当把贯彻执行民主集中制、廉政勤政方面的要求和存在的问题作为重要内容。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二条发现领导干部在政治思想、履行职责、工作作风、道德品质、廉政勤政等方面的苗头性问题，党委（党组）、纪委和党委组织部门应当按照干部管理权限及时对其进行诫勉谈话。对该领导干部提出的诫勉要求和该领导干部的说明及表态，应当作书面记录，经本人核实后，由组织（人事）部门或纪律检查机关留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第八节 舆论监督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第三十三条 在党的领导下，新闻媒体要按照有关规定和程序，通过内部反映或公开报道，发挥舆论监督的作用。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党的各级组织和党员领导干部应当重视和支持舆论监督，听取意见，推动和改进工作。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第三十四条 新闻媒体应当坚持党性原则，遵守新闻纪律和职业道德，把握舆论监督的正确导向，注重舆论监督的社会效果。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第九节 询问和质询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第三十五条 党的地方各级委员会委员，有权对党的委员会全体</w:t>
      </w:r>
      <w:r>
        <w:rPr>
          <w:rFonts w:hint="default" w:ascii="Arial" w:hAnsi="Arial" w:eastAsia="宋体" w:cs="Arial"/>
          <w:color w:val="auto"/>
          <w:kern w:val="0"/>
          <w:sz w:val="21"/>
          <w:szCs w:val="21"/>
          <w:u w:val="none"/>
          <w:shd w:val="clear" w:fill="FFFFFF"/>
          <w:lang w:val="en-US" w:eastAsia="zh-CN" w:bidi="ar"/>
        </w:rPr>
        <w:fldChar w:fldCharType="begin"/>
      </w:r>
      <w:r>
        <w:rPr>
          <w:rFonts w:hint="default" w:ascii="Arial" w:hAnsi="Arial" w:eastAsia="宋体" w:cs="Arial"/>
          <w:color w:val="auto"/>
          <w:kern w:val="0"/>
          <w:sz w:val="21"/>
          <w:szCs w:val="21"/>
          <w:u w:val="none"/>
          <w:shd w:val="clear" w:fill="FFFFFF"/>
          <w:lang w:val="en-US" w:eastAsia="zh-CN" w:bidi="ar"/>
        </w:rPr>
        <w:instrText xml:space="preserve"> HYPERLINK "http://baike.baidu.com/view/2214584.htm" \t "http://baike.baidu.com/_blank" </w:instrText>
      </w:r>
      <w:r>
        <w:rPr>
          <w:rFonts w:hint="default" w:ascii="Arial" w:hAnsi="Arial" w:eastAsia="宋体" w:cs="Arial"/>
          <w:color w:val="auto"/>
          <w:kern w:val="0"/>
          <w:sz w:val="21"/>
          <w:szCs w:val="21"/>
          <w:u w:val="none"/>
          <w:shd w:val="clear" w:fill="FFFFFF"/>
          <w:lang w:val="en-US" w:eastAsia="zh-CN" w:bidi="ar"/>
        </w:rPr>
        <w:fldChar w:fldCharType="separate"/>
      </w:r>
      <w:r>
        <w:rPr>
          <w:rStyle w:val="10"/>
          <w:rFonts w:hint="default" w:ascii="Arial" w:hAnsi="Arial" w:eastAsia="宋体" w:cs="Arial"/>
          <w:color w:val="auto"/>
          <w:sz w:val="21"/>
          <w:szCs w:val="21"/>
          <w:u w:val="none"/>
          <w:shd w:val="clear" w:fill="FFFFFF"/>
        </w:rPr>
        <w:t>会议决议</w:t>
      </w:r>
      <w:r>
        <w:rPr>
          <w:rFonts w:hint="default" w:ascii="Arial" w:hAnsi="Arial" w:eastAsia="宋体" w:cs="Arial"/>
          <w:color w:val="auto"/>
          <w:kern w:val="0"/>
          <w:sz w:val="21"/>
          <w:szCs w:val="21"/>
          <w:u w:val="none"/>
          <w:shd w:val="clear" w:fill="FFFFFF"/>
          <w:lang w:val="en-US" w:eastAsia="zh-CN" w:bidi="ar"/>
        </w:rPr>
        <w:fldChar w:fldCharType="end"/>
      </w:r>
      <w:r>
        <w:rPr>
          <w:rFonts w:hint="default" w:ascii="Arial" w:hAnsi="Arial" w:eastAsia="宋体" w:cs="Arial"/>
          <w:color w:val="auto"/>
          <w:kern w:val="0"/>
          <w:sz w:val="21"/>
          <w:szCs w:val="21"/>
          <w:shd w:val="clear" w:fill="FFFFFF"/>
          <w:lang w:val="en-US" w:eastAsia="zh-CN" w:bidi="ar"/>
        </w:rPr>
        <w:t>、决定执行中存在的问题提出询问或质询。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党的地方各级纪律检查委员会委员，有权对纪律检查委员会全体会议决议、决定执行中存在的问题提出询问或质询。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第三十六条 询问可口头提出，也可以书面形式署真实姓名提出。有关部门应当作出说明。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第三十七条询问人在对有关部门所作的说明不满意的情况下，可以书面形式署真实姓名对同一问题提出质询。有关部门应当作出书面解释或答复。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对质询中发现的问题，有关党组织应当及时研究处理。质询人利用质询故意刁难、无理纠缠的，给予批评教育；情节严重的，追究责任。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第十节 罢免或撤换要求及处理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第三十八条 党的地方各级委员会委员，有权向上级党组织提出要求罢免或撤换所在委员会和同级纪委中不称职的委员、常委。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党的地方各级纪律检查委员会委员，有权向上级党组织提出要求罢免或撤换所在委员会不称职的委员、常委。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受理罢免或撤换要求的党组织应当认真研究处理。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第三十九条 罢免或撤换要求应当以书面形式署真实姓名提出，并有根据地陈述理由。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提出罢免或撤换要求应当严肃慎重。对于没有列举具体事例，不负责任地提出罢免或撤换要求的，给予批评教育；对于捏造事实陷害他人的，依纪依法追究责任。</w:t>
      </w:r>
    </w:p>
    <w:p>
      <w:pPr>
        <w:pStyle w:val="3"/>
        <w:keepNext w:val="0"/>
        <w:keepLines w:val="0"/>
        <w:widowControl/>
        <w:suppressLineNumbers w:val="0"/>
        <w:spacing w:before="300" w:beforeAutospacing="0" w:after="0" w:afterAutospacing="0" w:line="23" w:lineRule="atLeast"/>
        <w:ind w:left="0" w:right="0"/>
        <w:rPr>
          <w:color w:val="auto"/>
        </w:rPr>
      </w:pPr>
      <w:bookmarkStart w:id="10" w:name="sub2420926_5"/>
      <w:bookmarkEnd w:id="10"/>
      <w:bookmarkStart w:id="11" w:name="5"/>
      <w:bookmarkEnd w:id="11"/>
      <w:bookmarkStart w:id="12" w:name="第四章"/>
      <w:bookmarkEnd w:id="12"/>
      <w:r>
        <w:rPr>
          <w:color w:val="auto"/>
          <w:shd w:val="clear" w:fill="FFFFFF"/>
        </w:rPr>
        <w:t>中国共产党党内监督条例第四章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监督保障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第四十条 各级党委、纪委应当按照本条例规定切实履行监督职责，发挥监督作用。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党员和党员领导干部应当正确履行职责，自觉接受监督。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对违反本条例规定，不履行或不正确履行党内监督职责、不遵守党内监督制度的，视情节追究责任，严肃处理。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第四十一条各级党组织应当认真贯彻党风廉政建设责任制，加强思想政治教育，健全工作制度，有效防范各种违纪行为的发生。对党组织和党员反映的问题，应当认真处理。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二条鼓励、支持、保护党组织和党员领导干部、党员、党的代表大会代表在党内监督中发挥积极作用。对署真实姓名反映问题或检举、控告违纪违法行为的，党组织和有关人员应当为其保密；对泄露的要追究责任。对检举、控告党员或党组织严重违纪违法问题经查证属实的，给予表扬或奖励。对打击报复监督者的，对以监督为名侮辱、诽谤、诬陷他人的，以及在监督中有其他违纪违法行为的，依纪依法严肃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第四十三条党组织发现违反本条例的行为或接到检举、控告，认为需要查明事实、纠正错误、追究责任的，按照职责和权限，及时调查处理。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经过调查，需要追究党组织责任的，责令其纠正错误或给予通报批评，情节严重的依照有关规定处理；需要追究党员责任的，依照有关规定给予批评教育、组织处理或党纪处分；没有发现被调查的党组织或党员有违反规定行为的，应当作出书面结论，消除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第四十四条党员、党组织对处理决定不服的，可以向作出处理决定的党组织申诉。有关党组织应当认真复议、复查，并作出结论。如仍有意见，可以向上级党组织直至中央申诉。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申诉期间，不影响处理决定的执行。</w:t>
      </w:r>
    </w:p>
    <w:p>
      <w:pPr>
        <w:pStyle w:val="3"/>
        <w:keepNext w:val="0"/>
        <w:keepLines w:val="0"/>
        <w:widowControl/>
        <w:suppressLineNumbers w:val="0"/>
        <w:spacing w:before="300" w:beforeAutospacing="0" w:after="0" w:afterAutospacing="0" w:line="23" w:lineRule="atLeast"/>
        <w:ind w:left="0" w:right="0"/>
        <w:rPr>
          <w:color w:val="auto"/>
        </w:rPr>
      </w:pPr>
      <w:bookmarkStart w:id="13" w:name="sub2420926_6"/>
      <w:bookmarkEnd w:id="13"/>
      <w:bookmarkStart w:id="14" w:name="6"/>
      <w:bookmarkEnd w:id="14"/>
      <w:bookmarkStart w:id="15" w:name="第五章"/>
      <w:bookmarkEnd w:id="15"/>
      <w:r>
        <w:rPr>
          <w:color w:val="auto"/>
          <w:shd w:val="clear" w:fill="FFFFFF"/>
        </w:rPr>
        <w:t>中国共产党党内监督条例第五章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b/>
          <w:color w:val="auto"/>
          <w:kern w:val="0"/>
          <w:sz w:val="21"/>
          <w:szCs w:val="21"/>
          <w:shd w:val="clear" w:fill="FFFFFF"/>
          <w:lang w:val="en-US" w:eastAsia="zh-CN" w:bidi="ar"/>
        </w:rPr>
        <w:t>附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第四十五条 中国人民解放军和中国人民武装警察部队的党组织实施党内监督的规定，由中央军委参照本条例制定。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第四十六条 本条例由中央纪委商中央组织部解释。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225" w:afterAutospacing="0" w:line="360" w:lineRule="atLeast"/>
        <w:ind w:left="0" w:right="0" w:firstLine="420"/>
        <w:jc w:val="left"/>
        <w:rPr>
          <w:rFonts w:hint="default" w:ascii="Arial" w:hAnsi="Arial" w:cs="Arial"/>
          <w:color w:val="auto"/>
          <w:sz w:val="21"/>
          <w:szCs w:val="21"/>
        </w:rPr>
      </w:pPr>
      <w:r>
        <w:rPr>
          <w:rFonts w:hint="default" w:ascii="Arial" w:hAnsi="Arial" w:eastAsia="宋体" w:cs="Arial"/>
          <w:color w:val="auto"/>
          <w:kern w:val="0"/>
          <w:sz w:val="21"/>
          <w:szCs w:val="21"/>
          <w:shd w:val="clear" w:fill="FFFFFF"/>
          <w:lang w:val="en-US" w:eastAsia="zh-CN" w:bidi="ar"/>
        </w:rPr>
        <w:t>第四十七条 本条例自发布之日起施行。</w:t>
      </w:r>
      <w:r>
        <w:rPr>
          <w:rFonts w:hint="default" w:ascii="Arial" w:hAnsi="Arial" w:eastAsia="宋体" w:cs="Arial"/>
          <w:color w:val="auto"/>
          <w:kern w:val="0"/>
          <w:sz w:val="15"/>
          <w:szCs w:val="15"/>
          <w:shd w:val="clear" w:fill="FFFFFF"/>
          <w:vertAlign w:val="baseline"/>
          <w:lang w:val="en-US" w:eastAsia="zh-CN" w:bidi="ar"/>
        </w:rPr>
        <w:t>[3]</w:t>
      </w:r>
      <w:bookmarkStart w:id="16" w:name="ref_[3]_2420926"/>
      <w:r>
        <w:rPr>
          <w:rFonts w:hint="default" w:ascii="Arial" w:hAnsi="Arial" w:eastAsia="宋体" w:cs="Arial"/>
          <w:color w:val="auto"/>
          <w:kern w:val="0"/>
          <w:sz w:val="0"/>
          <w:szCs w:val="0"/>
          <w:u w:val="none"/>
          <w:shd w:val="clear" w:fill="FFFFFF"/>
          <w:lang w:val="en-US" w:eastAsia="zh-CN" w:bidi="ar"/>
        </w:rPr>
        <w:t> </w:t>
      </w:r>
      <w:bookmarkEnd w:id="16"/>
      <w:r>
        <w:rPr>
          <w:rFonts w:hint="default" w:ascii="Arial" w:hAnsi="Arial" w:eastAsia="宋体" w:cs="Arial"/>
          <w:color w:val="auto"/>
          <w:kern w:val="0"/>
          <w:sz w:val="21"/>
          <w:szCs w:val="21"/>
          <w:shd w:val="clear" w:fill="FFFFFF"/>
          <w:lang w:val="en-US" w:eastAsia="zh-CN" w:bidi="ar"/>
        </w:rPr>
        <w:t xml:space="preserve"> </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baikeFont_css">
    <w:altName w:val="Segoe Print"/>
    <w:panose1 w:val="00000000000000000000"/>
    <w:charset w:val="00"/>
    <w:family w:val="auto"/>
    <w:pitch w:val="default"/>
    <w:sig w:usb0="00000000" w:usb1="00000000" w:usb2="00000000" w:usb3="00000000" w:csb0="00000000" w:csb1="00000000"/>
  </w:font>
  <w:font w:name="baikeFont_layout">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129B5"/>
    <w:rsid w:val="0DE129B5"/>
    <w:rsid w:val="2B3C05D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color w:val="333333"/>
      <w:kern w:val="44"/>
      <w:sz w:val="42"/>
      <w:szCs w:val="42"/>
      <w:lang w:val="en-US" w:eastAsia="zh-CN" w:bidi="ar"/>
    </w:rPr>
  </w:style>
  <w:style w:type="paragraph" w:styleId="3">
    <w:name w:val="heading 2"/>
    <w:basedOn w:val="1"/>
    <w:next w:val="1"/>
    <w:unhideWhenUsed/>
    <w:qFormat/>
    <w:uiPriority w:val="0"/>
    <w:pPr>
      <w:pBdr>
        <w:left w:val="none" w:color="auto" w:sz="0" w:space="0"/>
        <w:right w:val="none" w:color="auto" w:sz="0" w:space="0"/>
      </w:pBdr>
      <w:spacing w:before="0" w:beforeAutospacing="1" w:after="0" w:afterAutospacing="1"/>
      <w:jc w:val="left"/>
    </w:pPr>
    <w:rPr>
      <w:rFonts w:hint="eastAsia" w:ascii="宋体" w:hAnsi="宋体" w:eastAsia="宋体" w:cs="宋体"/>
      <w:b/>
      <w:color w:val="333333"/>
      <w:kern w:val="0"/>
      <w:sz w:val="31"/>
      <w:szCs w:val="31"/>
      <w:lang w:val="en-US" w:eastAsia="zh-CN" w:bidi="ar"/>
    </w:rPr>
  </w:style>
  <w:style w:type="character" w:default="1" w:styleId="4">
    <w:name w:val="Default Paragraph Font"/>
    <w:semiHidden/>
    <w:qFormat/>
    <w:uiPriority w:val="0"/>
  </w:style>
  <w:style w:type="table" w:default="1" w:styleId="15">
    <w:name w:val="Normal Table"/>
    <w:semiHidden/>
    <w:qFormat/>
    <w:uiPriority w:val="0"/>
    <w:tblPr>
      <w:tblLayout w:type="fixed"/>
      <w:tblCellMar>
        <w:top w:w="0" w:type="dxa"/>
        <w:left w:w="108" w:type="dxa"/>
        <w:bottom w:w="0" w:type="dxa"/>
        <w:right w:w="108" w:type="dxa"/>
      </w:tblCellMar>
    </w:tblPr>
  </w:style>
  <w:style w:type="character" w:styleId="5">
    <w:name w:val="Strong"/>
    <w:basedOn w:val="4"/>
    <w:qFormat/>
    <w:uiPriority w:val="0"/>
    <w:rPr>
      <w:b/>
    </w:rPr>
  </w:style>
  <w:style w:type="character" w:styleId="6">
    <w:name w:val="FollowedHyperlink"/>
    <w:basedOn w:val="4"/>
    <w:qFormat/>
    <w:uiPriority w:val="0"/>
    <w:rPr>
      <w:color w:val="338DE6"/>
      <w:u w:val="none"/>
    </w:rPr>
  </w:style>
  <w:style w:type="character" w:styleId="7">
    <w:name w:val="Emphasis"/>
    <w:basedOn w:val="4"/>
    <w:qFormat/>
    <w:uiPriority w:val="0"/>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qFormat/>
    <w:uiPriority w:val="0"/>
    <w:rPr>
      <w:color w:val="338DE6"/>
      <w:u w:val="none"/>
    </w:rPr>
  </w:style>
  <w:style w:type="character" w:styleId="11">
    <w:name w:val="HTML Code"/>
    <w:basedOn w:val="4"/>
    <w:qFormat/>
    <w:uiPriority w:val="0"/>
    <w:rPr>
      <w:rFonts w:hint="default" w:ascii="monospace" w:hAnsi="monospace" w:eastAsia="monospace" w:cs="monospace"/>
      <w:sz w:val="21"/>
      <w:szCs w:val="21"/>
    </w:rPr>
  </w:style>
  <w:style w:type="character" w:styleId="12">
    <w:name w:val="HTML Cite"/>
    <w:basedOn w:val="4"/>
    <w:qFormat/>
    <w:uiPriority w:val="0"/>
  </w:style>
  <w:style w:type="character" w:styleId="13">
    <w:name w:val="HTML Keyboard"/>
    <w:basedOn w:val="4"/>
    <w:qFormat/>
    <w:uiPriority w:val="0"/>
    <w:rPr>
      <w:rFonts w:hint="default" w:ascii="monospace" w:hAnsi="monospace" w:eastAsia="monospace" w:cs="monospace"/>
      <w:sz w:val="21"/>
      <w:szCs w:val="21"/>
    </w:rPr>
  </w:style>
  <w:style w:type="character" w:styleId="14">
    <w:name w:val="HTML Sample"/>
    <w:basedOn w:val="4"/>
    <w:qFormat/>
    <w:uiPriority w:val="0"/>
    <w:rPr>
      <w:rFonts w:ascii="monospace" w:hAnsi="monospace" w:eastAsia="monospace" w:cs="monospace"/>
      <w:sz w:val="21"/>
      <w:szCs w:val="21"/>
    </w:rPr>
  </w:style>
  <w:style w:type="character" w:customStyle="1" w:styleId="16">
    <w:name w:val="fontstrikethrough"/>
    <w:basedOn w:val="4"/>
    <w:qFormat/>
    <w:uiPriority w:val="0"/>
    <w:rPr>
      <w:strike/>
    </w:rPr>
  </w:style>
  <w:style w:type="character" w:customStyle="1" w:styleId="17">
    <w:name w:val="fontborder"/>
    <w:basedOn w:val="4"/>
    <w:qFormat/>
    <w:uiPriority w:val="0"/>
    <w:rPr>
      <w:bdr w:val="single" w:color="000000" w:sz="6" w:space="0"/>
    </w:rPr>
  </w:style>
  <w:style w:type="paragraph" w:customStyle="1" w:styleId="18">
    <w:name w:val="lemmawgt-lemmatitle-title"/>
    <w:basedOn w:val="1"/>
    <w:qFormat/>
    <w:uiPriority w:val="0"/>
    <w:pPr>
      <w:spacing w:before="0" w:beforeAutospacing="0" w:after="75" w:afterAutospacing="0"/>
      <w:ind w:left="0" w:right="0"/>
      <w:jc w:val="left"/>
    </w:pPr>
    <w:rPr>
      <w:kern w:val="0"/>
      <w:lang w:val="en-US" w:eastAsia="zh-CN" w:bidi="ar"/>
    </w:rPr>
  </w:style>
  <w:style w:type="character" w:customStyle="1" w:styleId="19">
    <w:name w:val="lemmawgt-lemmatitle-title1"/>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2016-05-05T14:55:00Z</dcterms:created>
  <dc:creator>Administrator</dc:creator>
  <cp:lastModifiedBy>Administrator</cp:lastModifiedBy>
  <dcterms:modified xsi:type="dcterms:W3CDTF">2016-05-05T15:01:59Z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